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7B" w:rsidRDefault="00E8287B">
      <w:pPr>
        <w:suppressAutoHyphens/>
        <w:spacing w:after="113" w:line="240" w:lineRule="auto"/>
        <w:jc w:val="center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center"/>
        <w:rPr>
          <w:rFonts w:ascii="Arial" w:eastAsia="Arial" w:hAnsi="Arial" w:cs="Arial"/>
          <w:b/>
          <w:color w:val="000000"/>
          <w:sz w:val="30"/>
          <w:highlight w:val="white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Modelo de Projeto de Criação do</w:t>
      </w:r>
    </w:p>
    <w:p w:rsidR="00E8287B" w:rsidRDefault="003232E2">
      <w:pPr>
        <w:suppressAutoHyphens/>
        <w:spacing w:after="113" w:line="240" w:lineRule="auto"/>
        <w:jc w:val="center"/>
        <w:rPr>
          <w:rFonts w:ascii="Arial" w:eastAsia="Arial" w:hAnsi="Arial" w:cs="Arial"/>
          <w:color w:val="000000"/>
          <w:sz w:val="30"/>
          <w:highlight w:val="white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Núcleo da Ativa Incubadora</w:t>
      </w: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do Campus XXXX</w:t>
      </w:r>
    </w:p>
    <w:p w:rsidR="00E8287B" w:rsidRDefault="00E8287B">
      <w:pPr>
        <w:suppressAutoHyphens/>
        <w:spacing w:after="113" w:line="240" w:lineRule="auto"/>
        <w:ind w:left="3402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1. Introdução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A Resolução do Conselho Superior Nº 84/2017 de 28 de setembro de 2017, que regimenta a Ativa Incubadora de Empresas do IFMT, institui regras e procedimentos para a 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institucionalização dos Núcleos Incubadores nos Campi.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O </w:t>
      </w:r>
      <w:proofErr w:type="gramStart"/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Presente projeto objetiva</w:t>
      </w:r>
      <w:proofErr w:type="gramEnd"/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institucionalizar o Núcleo da Ativa Incubadora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, posicionado na Coordenação Extensão do Campus e vinculado à Pró-Reitoria de Extensão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do IFMT.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Núcleo da Ativa Incubadora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(NI) é a unidade responsável 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por propiciar aos alunos, servidores e à sociedade (comunidade do entorno do campus, setor produtivo, segmento empresarial, egressos) um ambiente adequado para a criação, o desenvolvimento e a consolidação de empreendimentos inovadores.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NI XXXX, nos term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os do seu Regimento Interno, será um polo de estímulo à inovação e ao empreendedorismo na região, com atuação na prospecção e apoio a empreendimentos para pré-incubação e incubação e acompanhamento (relacionamento contínuo) aos empreendimentos graduados. O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Núcleo oferecerá um conjunto de ações caracterizadas como suporte à evolução dos empreendimentos inovadores pelo uso de tecnologias e métodos de gestão estratégica e operacional, além de infraestrutura adequada.</w:t>
      </w:r>
    </w:p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2. Justificativa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- 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O Campus e a Vocação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 do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 seu Núcleo Incubador e as demandas locais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Neste tópico a proposta deverá descrever as competências, áreas de atuação e atividades de ensino, pesquisa e extensão desenvolvidas no Campus bem como uma proposta de foco de atuação do Núcleo Incubador.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Ciente 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da missão de promover educação profissional, científica e tecnológica de excelência, por meio do ensino, pesquisa e extensão, com foco no desenvolvimento humano sustentável, o campus </w:t>
      </w:r>
      <w:proofErr w:type="spellStart"/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xxx</w:t>
      </w:r>
      <w:proofErr w:type="spellEnd"/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do Instituto Federal do Mato Grosso – IFMT, faz parte da Rede de Ensi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no Federal, que há mais de 100 anos vem oferecendo ensino público de qualidade em sintonia com as demandas do mercado. Além disso, possui uma excelente infraestrutura, professores qualificados e profissionais administrativos capacitados para atender aos al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unos.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A título de exemplo acerca da qualificação dos professores, o campus possui um corpo docente formado por Mestres e Doutores, apresentando um perfil vocacionado para a pesquisa, tendo nas atividades relacionadas ao desenvolvimento científico e tecnoló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gico sua maior expressão.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Campus foi inaugurado em XXXX, e seguindo a portaria do Ministério da Educação (MEC) nº 000 que ampara o funcionamento da Instituição, ainda está em processo de implantação até 2020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. Ainda está prevista a construção de mais quat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ro blocos. As obras incluem espaços para ginásio poliesportivo, refeitório/área de serviço, biblioteca e teatro. Também será construída no campus uma fazenda experimental com modelos de produção animal e vegetal.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Na área de ensino, o campus oferece os curs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os Técnico em Administração integrado ao Ensino Médio e Técnico em Agropecuária integrado ao Ensino Médio.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objetivo ao definir o foco é tornar explícita as áreas de atuação dos empreendimentos inovadores que serão apoiados pelo Núcleo Incubador. Esta def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inição é resultado da análise do Arranjo Produtivo Local (APL) o qual encontra-se situado o Campus XXXX em consonância com as necessidades e potencialidades da região.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foco do Núcleo Incubador será apoio a empreendimentos de base tecnológica, social e cu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ltural ou seja, empreendimentos inovadores cujos produtos, processos ou serviços oferecem desenvolvimento social para a região.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lastRenderedPageBreak/>
        <w:t>O Núcleo Incubador XXX apoiará, preferencialmente, empreendimentos nas seguintes áreas: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 Administração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 Agropecuária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highlight w:val="white"/>
        </w:rPr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- Gestão 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Social e Cultural</w:t>
      </w:r>
    </w:p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3. Infraestrutura disponibilizada ao Núcleo da Ativa Incubadora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 do Campus XXXX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Recursos Humanos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Materiais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Equipamentos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Apoio Logístico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Neste tópico a proposta deve apresentar: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- A descrição do espaço físico que será disponibilizado para a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implantação do Núcleo.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A relação dos serviços operacionais e de apoio que serão disponibilizados pelo campus para utilização compartilhada pelo Núcleo (Ex. Manutenção da rede de dados com recursos para acesso a (à) internet; Limpeza e conservação; Vigilâ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ncia; Energia Elétrica; Água e Esgoto; Manutenção e Conservação de bens imóveis; Telefonia).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A relação de instalações que serão disponibilizadas para utilização compartilhada pelo Núcleo.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Horário de funcionamento.</w:t>
      </w:r>
    </w:p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4. Cronograma de Atividades para 2020</w:t>
      </w:r>
    </w:p>
    <w:p w:rsidR="00E8287B" w:rsidRDefault="003232E2">
      <w:pPr>
        <w:suppressAutoHyphens/>
        <w:spacing w:after="113" w:line="240" w:lineRule="auto"/>
        <w:jc w:val="both"/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Descrição e metodologia das principais atividades a serem desenvolvidas em 2020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, como pré-incubação ou incubação de empresas, acompanhamento de empresas juniores, eventos, capacitações, qualificações, participações em eventos de empreendedorismo e inovaçã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o e outras atividades correlatas.</w:t>
      </w:r>
    </w:p>
    <w:tbl>
      <w:tblPr>
        <w:tblW w:w="8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442"/>
        <w:gridCol w:w="419"/>
        <w:gridCol w:w="524"/>
        <w:gridCol w:w="458"/>
        <w:gridCol w:w="475"/>
        <w:gridCol w:w="429"/>
        <w:gridCol w:w="390"/>
        <w:gridCol w:w="490"/>
        <w:gridCol w:w="406"/>
        <w:gridCol w:w="476"/>
        <w:gridCol w:w="493"/>
        <w:gridCol w:w="438"/>
      </w:tblGrid>
      <w:tr w:rsidR="00E8287B"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ATIVIDADE (estes são exemplos)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F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M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A</w:t>
            </w:r>
          </w:p>
        </w:tc>
        <w:tc>
          <w:tcPr>
            <w:tcW w:w="47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M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A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S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O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N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b/>
                <w:i/>
                <w:color w:val="808080" w:themeColor="background1" w:themeShade="80"/>
              </w:rPr>
              <w:t>D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Capacitação em Empreendedorismo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Evento 1: Rodada de negócios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 xml:space="preserve">Evento 2: Palestra sobre </w:t>
            </w:r>
            <w:proofErr w:type="spellStart"/>
            <w:r>
              <w:rPr>
                <w:rFonts w:eastAsia="Calibri" w:cs="Calibri"/>
                <w:i/>
                <w:color w:val="808080" w:themeColor="background1" w:themeShade="80"/>
              </w:rPr>
              <w:t>StartUp</w:t>
            </w:r>
            <w:proofErr w:type="spellEnd"/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Edital de pré-incubação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Pré-incubação de empreendimentos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Lançamento de Edital de incubação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  <w:tr w:rsidR="00E8287B">
        <w:tc>
          <w:tcPr>
            <w:tcW w:w="314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Incubação de empreendimentos</w:t>
            </w:r>
          </w:p>
        </w:tc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1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595959"/>
            <w:tcMar>
              <w:left w:w="62" w:type="dxa"/>
            </w:tcMar>
            <w:vAlign w:val="center"/>
          </w:tcPr>
          <w:p w:rsidR="00E8287B" w:rsidRDefault="003232E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>
              <w:rPr>
                <w:rFonts w:eastAsia="Calibri" w:cs="Calibri"/>
                <w:i/>
                <w:color w:val="808080" w:themeColor="background1" w:themeShade="80"/>
              </w:rPr>
              <w:t> </w:t>
            </w:r>
          </w:p>
        </w:tc>
      </w:tr>
    </w:tbl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5. Relação com a pesquisa e ensino, e os impactos esperados para o Campus e região.</w:t>
      </w:r>
    </w:p>
    <w:p w:rsidR="00E8287B" w:rsidRDefault="003232E2">
      <w:pPr>
        <w:suppressAutoHyphens/>
        <w:spacing w:after="113" w:line="240" w:lineRule="auto"/>
        <w:jc w:val="both"/>
      </w:pP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Núcleo promoverá um diálogo interinstitucional, propiciando aos estudantes vivências e qualificações nas temáticas do empreendedorismo, das relações com o mundo do traba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lho (como empregados e/ou empregadores), das possibilidades do desenvolvimento da economia solidária. Durante os processos de pré incubação, o Núcleo atuará em consonância com pesquisadores do IFMT e outras Instituições</w:t>
      </w:r>
      <w:bookmarkStart w:id="0" w:name="_GoBack"/>
      <w:bookmarkEnd w:id="0"/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, objetivando o assessoramento aos em</w:t>
      </w:r>
      <w:r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preendimentos para o desenvolvimento de tecnologias e serviços inovadores, promovendo a interface ensino-pesquisa-extensão-inovação, resultando em reconhecimento Institucional.</w:t>
      </w:r>
    </w:p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E8287B" w:rsidRDefault="00E8287B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lastRenderedPageBreak/>
        <w:t>6. Anexos: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a) Declaração de compatibilidade de horário do responsável pela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Gerência Local. A pessoa designada para a Gerência Local deve pertencer ao quadro efetivo de servidores do IFMT e dedicar, no mínimo, 10 (dez) horas semanais para o desenvolvimento das atividades.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b) Portaria de nomeação do Gerente Local.</w:t>
      </w:r>
    </w:p>
    <w:p w:rsidR="00E8287B" w:rsidRDefault="003232E2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c) Portaria de no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meação da Comissão Técnica (nomes).</w:t>
      </w:r>
    </w:p>
    <w:p w:rsidR="00E8287B" w:rsidRDefault="003232E2">
      <w:pPr>
        <w:suppressAutoHyphens/>
        <w:spacing w:after="113" w:line="240" w:lineRule="auto"/>
        <w:jc w:val="both"/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d) Portaria de nomeação do Conselho Gestor (nomes).</w:t>
      </w:r>
    </w:p>
    <w:sectPr w:rsidR="00E8287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B"/>
    <w:rsid w:val="003232E2"/>
    <w:rsid w:val="00E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3420"/>
  <w15:docId w15:val="{EB62C931-4CE1-48C0-8327-B94D68FF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5258</Characters>
  <Application>Microsoft Office Word</Application>
  <DocSecurity>0</DocSecurity>
  <Lines>43</Lines>
  <Paragraphs>12</Paragraphs>
  <ScaleCrop>false</ScaleCrop>
  <Company>IFMT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Paula Vanessa Xavier Correa de Morais</dc:creator>
  <dc:description/>
  <cp:lastModifiedBy>Lea Paula Vanessa Xavier Correa de Morais</cp:lastModifiedBy>
  <cp:revision>4</cp:revision>
  <dcterms:created xsi:type="dcterms:W3CDTF">2017-11-14T19:48:00Z</dcterms:created>
  <dcterms:modified xsi:type="dcterms:W3CDTF">2020-01-30T18:28:00Z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